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0D2306" w:rsidRPr="003C7004">
        <w:rPr>
          <w:sz w:val="28"/>
          <w:szCs w:val="28"/>
        </w:rPr>
        <w:t>Skala und Zahlen</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0D2306" w:rsidTr="000D2306">
        <w:tc>
          <w:tcPr>
            <w:tcW w:w="2466" w:type="dxa"/>
            <w:vAlign w:val="center"/>
          </w:tcPr>
          <w:p w:rsidR="000D2306" w:rsidRPr="00A069A7" w:rsidRDefault="000D2306" w:rsidP="00C14828">
            <w:pPr>
              <w:pStyle w:val="IQB-Merkmal"/>
            </w:pPr>
            <w:r w:rsidRPr="00A069A7">
              <w:t>Leitidee</w:t>
            </w:r>
          </w:p>
        </w:tc>
        <w:tc>
          <w:tcPr>
            <w:tcW w:w="6604" w:type="dxa"/>
          </w:tcPr>
          <w:p w:rsidR="000D2306" w:rsidRPr="00A069A7" w:rsidRDefault="000D2306" w:rsidP="00C14828">
            <w:pPr>
              <w:pStyle w:val="IQB-Merkmalswert"/>
              <w:rPr>
                <w:sz w:val="22"/>
                <w:szCs w:val="22"/>
              </w:rPr>
            </w:pPr>
            <w:r w:rsidRPr="00A069A7">
              <w:rPr>
                <w:sz w:val="22"/>
                <w:szCs w:val="22"/>
              </w:rPr>
              <w:t>Zahl (L1)</w:t>
            </w:r>
          </w:p>
        </w:tc>
      </w:tr>
      <w:tr w:rsidR="000D2306" w:rsidTr="000D2306">
        <w:tc>
          <w:tcPr>
            <w:tcW w:w="2466" w:type="dxa"/>
            <w:vAlign w:val="center"/>
          </w:tcPr>
          <w:p w:rsidR="000D2306" w:rsidRPr="00A069A7" w:rsidRDefault="000D2306" w:rsidP="00C14828">
            <w:pPr>
              <w:pStyle w:val="IQB-Merkmal"/>
            </w:pPr>
            <w:r w:rsidRPr="00A069A7">
              <w:t>Allgemeine Kompetenzen</w:t>
            </w:r>
          </w:p>
        </w:tc>
        <w:tc>
          <w:tcPr>
            <w:tcW w:w="6604" w:type="dxa"/>
          </w:tcPr>
          <w:p w:rsidR="000D2306" w:rsidRDefault="000D2306" w:rsidP="00C14828">
            <w:pPr>
              <w:pStyle w:val="IQB-Merkmalswert"/>
              <w:rPr>
                <w:sz w:val="22"/>
                <w:szCs w:val="22"/>
              </w:rPr>
            </w:pPr>
            <w:r w:rsidRPr="00A069A7">
              <w:rPr>
                <w:sz w:val="22"/>
                <w:szCs w:val="22"/>
              </w:rPr>
              <w:t>Mathematisch</w:t>
            </w:r>
            <w:r>
              <w:rPr>
                <w:sz w:val="22"/>
                <w:szCs w:val="22"/>
              </w:rPr>
              <w:t>e Darstellungen verwenden (K4)</w:t>
            </w:r>
          </w:p>
          <w:p w:rsidR="000D2306" w:rsidRPr="00A069A7" w:rsidRDefault="000D2306" w:rsidP="00C14828">
            <w:pPr>
              <w:pStyle w:val="IQB-Merkmalswert"/>
              <w:rPr>
                <w:sz w:val="22"/>
                <w:szCs w:val="22"/>
              </w:rPr>
            </w:pPr>
            <w:r w:rsidRPr="00A069A7">
              <w:rPr>
                <w:sz w:val="22"/>
                <w:szCs w:val="22"/>
              </w:rPr>
              <w:t>Mit symbolischen, formalen und technischen Elementen der Mathematik umgehen (K5)</w:t>
            </w:r>
          </w:p>
        </w:tc>
      </w:tr>
      <w:tr w:rsidR="000D2306" w:rsidTr="000D2306">
        <w:tc>
          <w:tcPr>
            <w:tcW w:w="2466" w:type="dxa"/>
            <w:vAlign w:val="center"/>
          </w:tcPr>
          <w:p w:rsidR="000D2306" w:rsidRPr="00A069A7" w:rsidRDefault="000D2306" w:rsidP="00C14828">
            <w:pPr>
              <w:pStyle w:val="IQB-Merkmal"/>
            </w:pPr>
            <w:r w:rsidRPr="00A069A7">
              <w:t>Anforderungsbereich</w:t>
            </w:r>
          </w:p>
        </w:tc>
        <w:tc>
          <w:tcPr>
            <w:tcW w:w="6604" w:type="dxa"/>
          </w:tcPr>
          <w:p w:rsidR="000D2306" w:rsidRPr="00A069A7" w:rsidRDefault="000D2306" w:rsidP="00C14828">
            <w:pPr>
              <w:pStyle w:val="IQB-Merkmalswert"/>
              <w:rPr>
                <w:sz w:val="22"/>
                <w:szCs w:val="22"/>
              </w:rPr>
            </w:pPr>
            <w:r w:rsidRPr="00A069A7">
              <w:rPr>
                <w:sz w:val="22"/>
                <w:szCs w:val="22"/>
              </w:rPr>
              <w:t>II</w:t>
            </w:r>
          </w:p>
        </w:tc>
      </w:tr>
      <w:tr w:rsidR="000D2306" w:rsidTr="000D2306">
        <w:tc>
          <w:tcPr>
            <w:tcW w:w="2466" w:type="dxa"/>
            <w:vAlign w:val="center"/>
          </w:tcPr>
          <w:p w:rsidR="000D2306" w:rsidRPr="00A069A7" w:rsidRDefault="000D2306" w:rsidP="00C14828">
            <w:pPr>
              <w:pStyle w:val="IQB-Merkmal"/>
            </w:pPr>
            <w:r w:rsidRPr="00A069A7">
              <w:t>Kompetenzstufe</w:t>
            </w:r>
          </w:p>
        </w:tc>
        <w:tc>
          <w:tcPr>
            <w:tcW w:w="6604" w:type="dxa"/>
          </w:tcPr>
          <w:p w:rsidR="000D2306" w:rsidRPr="00A069A7" w:rsidRDefault="000D2306" w:rsidP="00C14828">
            <w:pPr>
              <w:pStyle w:val="IQB-Merkmalswert"/>
              <w:rPr>
                <w:sz w:val="22"/>
                <w:szCs w:val="22"/>
              </w:rPr>
            </w:pPr>
            <w:r w:rsidRPr="00A069A7">
              <w:rPr>
                <w:sz w:val="22"/>
                <w:szCs w:val="22"/>
              </w:rPr>
              <w:t>1a</w:t>
            </w:r>
          </w:p>
        </w:tc>
      </w:tr>
    </w:tbl>
    <w:p w:rsidR="00694A63" w:rsidRPr="00694A63" w:rsidRDefault="00694A63" w:rsidP="00694A63">
      <w:pPr>
        <w:pStyle w:val="IQB-Teilaufgabentitel"/>
        <w:rPr>
          <w:b/>
        </w:rPr>
      </w:pPr>
      <w:r w:rsidRPr="00694A63">
        <w:rPr>
          <w:b/>
        </w:rPr>
        <w:t>Aufgabenbezogener Kommentar</w:t>
      </w:r>
    </w:p>
    <w:p w:rsidR="000D2306" w:rsidRPr="000D2306" w:rsidRDefault="000D2306" w:rsidP="000D2306">
      <w:pPr>
        <w:jc w:val="both"/>
        <w:rPr>
          <w:rFonts w:ascii="Arial" w:hAnsi="Arial"/>
          <w:sz w:val="22"/>
          <w:szCs w:val="22"/>
        </w:rPr>
      </w:pPr>
      <w:r w:rsidRPr="000D2306">
        <w:rPr>
          <w:rFonts w:ascii="Arial" w:hAnsi="Arial"/>
          <w:sz w:val="22"/>
          <w:szCs w:val="22"/>
        </w:rPr>
        <w:t xml:space="preserve">Die Aufgabe „Skala und Zahlen“ gehört, der Name deutet es bereits an, zur Leitidee </w:t>
      </w:r>
      <w:r w:rsidRPr="000D2306">
        <w:rPr>
          <w:rFonts w:ascii="Arial" w:hAnsi="Arial"/>
          <w:i/>
          <w:sz w:val="22"/>
          <w:szCs w:val="22"/>
        </w:rPr>
        <w:t>Zahl </w:t>
      </w:r>
      <w:r w:rsidRPr="000D2306">
        <w:rPr>
          <w:rFonts w:ascii="Arial" w:hAnsi="Arial"/>
          <w:sz w:val="22"/>
          <w:szCs w:val="22"/>
        </w:rPr>
        <w:t>(L1).</w:t>
      </w:r>
    </w:p>
    <w:p w:rsidR="000D2306" w:rsidRPr="000D2306" w:rsidRDefault="000D2306" w:rsidP="000D2306">
      <w:pPr>
        <w:jc w:val="both"/>
        <w:rPr>
          <w:rFonts w:ascii="Arial" w:hAnsi="Arial"/>
          <w:sz w:val="22"/>
          <w:szCs w:val="22"/>
        </w:rPr>
      </w:pPr>
    </w:p>
    <w:p w:rsidR="000D2306" w:rsidRPr="000D2306" w:rsidRDefault="000D2306" w:rsidP="000D2306">
      <w:pPr>
        <w:jc w:val="both"/>
        <w:rPr>
          <w:rFonts w:ascii="Arial" w:hAnsi="Arial"/>
          <w:sz w:val="22"/>
          <w:szCs w:val="22"/>
        </w:rPr>
      </w:pPr>
      <w:r w:rsidRPr="000D2306">
        <w:rPr>
          <w:rFonts w:ascii="Arial" w:hAnsi="Arial"/>
          <w:sz w:val="22"/>
          <w:szCs w:val="22"/>
        </w:rPr>
        <w:t xml:space="preserve">Auf einem Zahlenstrahl sind einzelne Zahlen markiert, die von den Schülerinnen und Schülern benannt werden. Daher wird hier die Kompetenz </w:t>
      </w:r>
      <w:r w:rsidRPr="000D2306">
        <w:rPr>
          <w:rFonts w:ascii="Arial" w:hAnsi="Arial"/>
          <w:i/>
          <w:sz w:val="22"/>
          <w:szCs w:val="22"/>
        </w:rPr>
        <w:t>Mathematische Darstellungen verwenden</w:t>
      </w:r>
      <w:r w:rsidRPr="000D2306">
        <w:rPr>
          <w:rFonts w:ascii="Arial" w:hAnsi="Arial"/>
          <w:sz w:val="22"/>
          <w:szCs w:val="22"/>
        </w:rPr>
        <w:t xml:space="preserve"> (K4) verlangt. Das Abzählen von Einheiten auf dem Zahlenstrahl ist ein Routineverfahren. Somit wird auch die Kompetenz </w:t>
      </w:r>
      <w:r w:rsidRPr="000D2306">
        <w:rPr>
          <w:rFonts w:ascii="Arial" w:hAnsi="Arial"/>
          <w:i/>
          <w:sz w:val="22"/>
          <w:szCs w:val="22"/>
        </w:rPr>
        <w:t>Mit symbolischen, formalen und technischen Elementen der Mathematik umgehen</w:t>
      </w:r>
      <w:r w:rsidRPr="000D2306">
        <w:rPr>
          <w:rFonts w:ascii="Arial" w:hAnsi="Arial"/>
          <w:sz w:val="22"/>
          <w:szCs w:val="22"/>
        </w:rPr>
        <w:t> (K5) vorausgesetzt.</w:t>
      </w:r>
    </w:p>
    <w:p w:rsidR="000D2306" w:rsidRPr="000D2306" w:rsidRDefault="000D2306" w:rsidP="000D2306">
      <w:pPr>
        <w:jc w:val="both"/>
        <w:rPr>
          <w:rFonts w:ascii="Arial" w:hAnsi="Arial"/>
          <w:sz w:val="22"/>
          <w:szCs w:val="22"/>
        </w:rPr>
      </w:pPr>
    </w:p>
    <w:p w:rsidR="000D2306" w:rsidRPr="000D2306" w:rsidRDefault="000D2306" w:rsidP="000D2306">
      <w:pPr>
        <w:jc w:val="both"/>
        <w:rPr>
          <w:rFonts w:ascii="Arial" w:hAnsi="Arial"/>
          <w:sz w:val="22"/>
          <w:szCs w:val="22"/>
        </w:rPr>
      </w:pPr>
      <w:r w:rsidRPr="000D2306">
        <w:rPr>
          <w:rFonts w:ascii="Arial" w:hAnsi="Arial"/>
          <w:sz w:val="22"/>
          <w:szCs w:val="22"/>
        </w:rPr>
        <w:t xml:space="preserve">Zwar werden hier lediglich eine gewohnte Darstellung und ein Routineverfahren verwendet. Allerdings muss in dieser Teilaufgabe </w:t>
      </w:r>
      <w:proofErr w:type="spellStart"/>
      <w:r w:rsidRPr="000D2306">
        <w:rPr>
          <w:rFonts w:ascii="Arial" w:hAnsi="Arial"/>
          <w:sz w:val="22"/>
          <w:szCs w:val="22"/>
        </w:rPr>
        <w:t>zweischrittig</w:t>
      </w:r>
      <w:proofErr w:type="spellEnd"/>
      <w:r w:rsidRPr="000D2306">
        <w:rPr>
          <w:rFonts w:ascii="Arial" w:hAnsi="Arial"/>
          <w:sz w:val="22"/>
          <w:szCs w:val="22"/>
        </w:rPr>
        <w:t xml:space="preserve"> vorgegangen werden und dabei einmal eine (wenn auch einfache) Rechnung mit negativen und einmal eine Rechnung mit positiven Zahlen durchgeführt werden. Daher wird die Aufgabe bereits in den Anforderungsbereich II eingeordnet. </w:t>
      </w:r>
    </w:p>
    <w:p w:rsidR="00694A63" w:rsidRPr="00694A63" w:rsidRDefault="00694A63" w:rsidP="00694A63">
      <w:pPr>
        <w:pStyle w:val="IQB-Teilaufgabentitel"/>
        <w:rPr>
          <w:b/>
        </w:rPr>
      </w:pPr>
      <w:r w:rsidRPr="00694A63">
        <w:rPr>
          <w:b/>
        </w:rPr>
        <w:t>Anregungen für den Unterricht</w:t>
      </w:r>
    </w:p>
    <w:p w:rsidR="000D2306" w:rsidRPr="000D2306" w:rsidRDefault="000D2306" w:rsidP="000D2306">
      <w:pPr>
        <w:jc w:val="both"/>
        <w:rPr>
          <w:rFonts w:ascii="Arial" w:hAnsi="Arial"/>
          <w:sz w:val="22"/>
          <w:szCs w:val="22"/>
        </w:rPr>
      </w:pPr>
      <w:r w:rsidRPr="000D2306">
        <w:rPr>
          <w:rFonts w:ascii="Arial" w:hAnsi="Arial"/>
          <w:sz w:val="22"/>
          <w:szCs w:val="22"/>
        </w:rPr>
        <w:t>In Vera</w:t>
      </w:r>
      <w:r>
        <w:rPr>
          <w:rFonts w:ascii="Arial" w:hAnsi="Arial"/>
          <w:sz w:val="22"/>
          <w:szCs w:val="22"/>
        </w:rPr>
        <w:t xml:space="preserve"> </w:t>
      </w:r>
      <w:bookmarkStart w:id="0" w:name="_GoBack"/>
      <w:bookmarkEnd w:id="0"/>
      <w:r w:rsidRPr="000D2306">
        <w:rPr>
          <w:rFonts w:ascii="Arial" w:hAnsi="Arial"/>
          <w:sz w:val="22"/>
          <w:szCs w:val="22"/>
        </w:rPr>
        <w:t>8 werden nicht nur Aufgaben zu unterschiedlichen Leitideen und Kompetenzen gestellt, die Aufgaben variieren auch hinsichtlich der verwendeten Aufgabenformate. Mithilfe unterschiedlicher Aufgabenformate können unterschiedliche Schüleraktivitäten evoziert werden. Es gilt also, verschiedene Aufgabenformate im Unterricht gezielt einzusetzen.</w:t>
      </w:r>
    </w:p>
    <w:p w:rsidR="000D2306" w:rsidRPr="000D2306" w:rsidRDefault="000D2306" w:rsidP="000D2306">
      <w:pPr>
        <w:jc w:val="both"/>
        <w:rPr>
          <w:rFonts w:ascii="Arial" w:hAnsi="Arial"/>
          <w:sz w:val="22"/>
          <w:szCs w:val="22"/>
        </w:rPr>
      </w:pPr>
    </w:p>
    <w:p w:rsidR="000D2306" w:rsidRPr="000D2306" w:rsidRDefault="000D2306" w:rsidP="000D2306">
      <w:pPr>
        <w:jc w:val="both"/>
        <w:rPr>
          <w:rFonts w:ascii="Arial" w:hAnsi="Arial"/>
          <w:sz w:val="22"/>
          <w:szCs w:val="22"/>
        </w:rPr>
      </w:pPr>
      <w:r w:rsidRPr="000D2306">
        <w:rPr>
          <w:rFonts w:ascii="Arial" w:hAnsi="Arial"/>
          <w:sz w:val="22"/>
          <w:szCs w:val="22"/>
        </w:rPr>
        <w:t>Die Aufgabe „Skala und Zahlen“ gehört zu den Aufgaben, in denen etwas eingezeichnet, ergänzt oder eingesetzt werden muss. Innerhalb dieses Aufgabenformats kann leicht variiert und damit eine Aufgabe womöglich anspruchsvoller und interessanter gestaltet werden, sofern man die Gegenstände variiert, die eingezeichnet, ergänzt oder eingesetzt werden müssen. Die folgende Aufgabe beinhaltet beispielsweise eine Bruchzahl. Denkbar wäre auch zwei Markierungen mit Zahlen vorzugeben (z. B. -100 und 1000) und die Schülerinnen und Schüler dazu einen geeigneten Zahlenstrahl einzeichnen zu lassen.</w:t>
      </w:r>
    </w:p>
    <w:p w:rsidR="000D2306" w:rsidRPr="000D2306" w:rsidRDefault="000D2306" w:rsidP="000D2306">
      <w:pPr>
        <w:jc w:val="both"/>
        <w:rPr>
          <w:rFonts w:ascii="Arial" w:hAnsi="Arial"/>
          <w:sz w:val="22"/>
          <w:szCs w:val="22"/>
        </w:rPr>
      </w:pPr>
    </w:p>
    <w:p w:rsidR="000D2306" w:rsidRPr="000D2306" w:rsidRDefault="000D2306" w:rsidP="000D2306">
      <w:pPr>
        <w:jc w:val="both"/>
        <w:rPr>
          <w:rFonts w:ascii="Arial" w:hAnsi="Arial"/>
          <w:b/>
          <w:sz w:val="22"/>
          <w:szCs w:val="22"/>
        </w:rPr>
      </w:pPr>
      <w:r w:rsidRPr="000D2306">
        <w:rPr>
          <w:rFonts w:ascii="Arial" w:hAnsi="Arial"/>
          <w:b/>
          <w:sz w:val="22"/>
          <w:szCs w:val="22"/>
        </w:rPr>
        <w:t>Beispielaufgabe</w:t>
      </w:r>
    </w:p>
    <w:p w:rsidR="000D2306" w:rsidRPr="000D2306" w:rsidRDefault="000D2306" w:rsidP="000D2306">
      <w:pPr>
        <w:widowControl w:val="0"/>
        <w:spacing w:after="120"/>
        <w:rPr>
          <w:rFonts w:ascii="Arial" w:hAnsi="Arial"/>
          <w:szCs w:val="20"/>
          <w:lang w:val="x-none" w:eastAsia="x-none"/>
        </w:rPr>
      </w:pPr>
      <w:r w:rsidRPr="000D2306">
        <w:rPr>
          <w:rFonts w:ascii="Arial" w:hAnsi="Arial"/>
          <w:noProof/>
          <w:szCs w:val="20"/>
        </w:rPr>
        <w:drawing>
          <wp:inline distT="0" distB="0" distL="0" distR="0">
            <wp:extent cx="4327525" cy="1690370"/>
            <wp:effectExtent l="0" t="0" r="0" b="508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27525" cy="1690370"/>
                    </a:xfrm>
                    <a:prstGeom prst="rect">
                      <a:avLst/>
                    </a:prstGeom>
                    <a:noFill/>
                    <a:ln>
                      <a:noFill/>
                    </a:ln>
                  </pic:spPr>
                </pic:pic>
              </a:graphicData>
            </a:graphic>
          </wp:inline>
        </w:drawing>
      </w:r>
    </w:p>
    <w:p w:rsidR="000D2306" w:rsidRPr="000D2306" w:rsidRDefault="000D2306" w:rsidP="000D2306">
      <w:pPr>
        <w:rPr>
          <w:rFonts w:ascii="Arial" w:hAnsi="Arial"/>
          <w:sz w:val="18"/>
        </w:rPr>
      </w:pPr>
    </w:p>
    <w:p w:rsidR="000D2306" w:rsidRPr="000D2306" w:rsidRDefault="000D2306" w:rsidP="000D2306">
      <w:pPr>
        <w:jc w:val="both"/>
        <w:rPr>
          <w:rFonts w:ascii="Arial" w:hAnsi="Arial"/>
          <w:sz w:val="22"/>
          <w:szCs w:val="22"/>
        </w:rPr>
      </w:pPr>
      <w:r w:rsidRPr="000D2306">
        <w:rPr>
          <w:rFonts w:ascii="Arial" w:hAnsi="Arial"/>
          <w:sz w:val="22"/>
          <w:szCs w:val="22"/>
        </w:rPr>
        <w:t xml:space="preserve">Ein weiteres Aufgabenformat besteht darin Fehler in einer Aufgabe zu entdecken und begründet zu berichtigen. Bezogen auf „Skala und Zahlen“ würde man also mehrere Markierungen vorgeben, von denen eine oder mehrere falsch sind. Die falschen Markierungen sollten dabei typischen </w:t>
      </w:r>
      <w:r w:rsidRPr="000D2306">
        <w:rPr>
          <w:rFonts w:ascii="Arial" w:hAnsi="Arial"/>
          <w:sz w:val="22"/>
          <w:szCs w:val="22"/>
        </w:rPr>
        <w:lastRenderedPageBreak/>
        <w:t xml:space="preserve">Fehlermustern entsprechen. Beispielsweise besteht ein häufiger Fehler beim im Umgang mit Skalen darin, dass lediglich Striche gezählt und mit Einheiten gleichgesetzt werden (siehe Abbildung 1). Schülerinnen und Schüler würden diese identifizieren und nach Möglichkeit die Ursache des Fehlers beschreiben. Mit diesem Aufgabenformat wird die Absicht verbunden, typische Fehler bewusst zu machen, auf das sie in Zukunft vermieden werden. Weitere Anregungen und didaktische Hintergründe zum Umgang mit Fehlern im Mathematikunterricht finden sich in „Holzäpfel, L., Loibl, K., Ufer, S. (2015). Fehler - Hindernis und Chance. </w:t>
      </w:r>
      <w:proofErr w:type="spellStart"/>
      <w:r w:rsidRPr="000D2306">
        <w:rPr>
          <w:rFonts w:ascii="Arial" w:hAnsi="Arial"/>
          <w:sz w:val="22"/>
          <w:szCs w:val="22"/>
        </w:rPr>
        <w:t>mathematik</w:t>
      </w:r>
      <w:proofErr w:type="spellEnd"/>
      <w:r w:rsidRPr="000D2306">
        <w:rPr>
          <w:rFonts w:ascii="Arial" w:hAnsi="Arial"/>
          <w:sz w:val="22"/>
          <w:szCs w:val="22"/>
        </w:rPr>
        <w:t xml:space="preserve"> lehren 191“.</w:t>
      </w:r>
    </w:p>
    <w:p w:rsidR="000D2306" w:rsidRPr="000D2306" w:rsidRDefault="000D2306" w:rsidP="000D2306">
      <w:pPr>
        <w:rPr>
          <w:rFonts w:ascii="Arial" w:hAnsi="Arial"/>
          <w:sz w:val="18"/>
        </w:rPr>
      </w:pPr>
    </w:p>
    <w:p w:rsidR="000D2306" w:rsidRPr="000D2306" w:rsidRDefault="000D2306" w:rsidP="000D2306">
      <w:pPr>
        <w:keepNext/>
        <w:rPr>
          <w:rFonts w:ascii="Arial" w:hAnsi="Arial"/>
          <w:sz w:val="18"/>
        </w:rPr>
      </w:pPr>
      <w:r w:rsidRPr="000D2306">
        <w:rPr>
          <w:rFonts w:ascii="Arial" w:hAnsi="Arial"/>
          <w:noProof/>
          <w:sz w:val="18"/>
        </w:rPr>
        <w:drawing>
          <wp:inline distT="0" distB="0" distL="0" distR="0">
            <wp:extent cx="4859020" cy="755015"/>
            <wp:effectExtent l="0" t="0" r="0" b="698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59020" cy="755015"/>
                    </a:xfrm>
                    <a:prstGeom prst="rect">
                      <a:avLst/>
                    </a:prstGeom>
                    <a:noFill/>
                    <a:ln>
                      <a:noFill/>
                    </a:ln>
                  </pic:spPr>
                </pic:pic>
              </a:graphicData>
            </a:graphic>
          </wp:inline>
        </w:drawing>
      </w:r>
    </w:p>
    <w:p w:rsidR="000D2306" w:rsidRPr="000D2306" w:rsidRDefault="000D2306" w:rsidP="000D2306">
      <w:pPr>
        <w:rPr>
          <w:rFonts w:ascii="Arial" w:hAnsi="Arial"/>
          <w:bCs/>
          <w:i/>
          <w:sz w:val="20"/>
          <w:szCs w:val="20"/>
        </w:rPr>
      </w:pPr>
      <w:r w:rsidRPr="000D2306">
        <w:rPr>
          <w:rFonts w:ascii="Arial" w:hAnsi="Arial"/>
          <w:bCs/>
          <w:i/>
          <w:sz w:val="20"/>
          <w:szCs w:val="20"/>
        </w:rPr>
        <w:t>Abbildung 1: Falsche Markierungen auf der Zahlengeraden</w:t>
      </w:r>
    </w:p>
    <w:p w:rsidR="000D2306" w:rsidRPr="000D2306" w:rsidRDefault="000D2306" w:rsidP="000D2306">
      <w:pPr>
        <w:rPr>
          <w:rFonts w:ascii="Arial" w:hAnsi="Arial"/>
          <w:sz w:val="18"/>
        </w:rPr>
      </w:pPr>
    </w:p>
    <w:p w:rsidR="00694A63" w:rsidRPr="005B2F65" w:rsidRDefault="000D2306" w:rsidP="000D2306">
      <w:pPr>
        <w:jc w:val="both"/>
        <w:rPr>
          <w:sz w:val="22"/>
          <w:szCs w:val="22"/>
        </w:rPr>
      </w:pPr>
      <w:r w:rsidRPr="000D2306">
        <w:rPr>
          <w:rFonts w:ascii="Arial" w:hAnsi="Arial"/>
          <w:sz w:val="22"/>
          <w:szCs w:val="22"/>
        </w:rPr>
        <w:t>Weiterhin können auch im Unterricht Aufgaben verwendet werden, bei denen man verschiedene Antwortmöglichkeiten vorgibt. Schülerinnen und Schüler beantworten solche Aufgaben in der Regel durch einfaches oder mehrfaches Ankreuzen. Mit Einfach- oder Mehrfach- Ankreuz-Aufgaben wird im Unterricht ein ähnliches Ziel verfolgt wie mit dem eben beschriebenen Aufgabenformat. Die falschen Ankreuzmöglichkeiten sollten dabei die Folge typischer Fehlermuster oder Fehlvorstellungen sein. Fragt man nun Schülerinnen und Schüler sich für eine Antwort zu entscheiden, beispielsweise durch Handzeichen in der Klasse, können anschließend die einzelnen Ergebnisse und damit Fehlermuster und Fehlvorstellungen thematisiert werden.</w:t>
      </w:r>
    </w:p>
    <w:sectPr w:rsidR="00694A63" w:rsidRPr="005B2F65"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DB101F12-0A67-431F-A92C-C3E53F2D917B}"/>
    <w:embedBold r:id="rId2" w:fontKey="{14C677EF-244B-43A7-A90C-087D0478650C}"/>
    <w:embedItalic r:id="rId3" w:fontKey="{B6C672CB-6520-47A8-8E30-1634FF2DF98B}"/>
    <w:embedBoldItalic r:id="rId4" w:fontKey="{DB5A3E27-B398-4F15-80EA-06113BCAF4A4}"/>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42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650E6"/>
    <w:rsid w:val="00083727"/>
    <w:rsid w:val="00090346"/>
    <w:rsid w:val="000D230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4209"/>
    <o:shapelayout v:ext="edit">
      <o:idmap v:ext="edit" data="1"/>
    </o:shapelayout>
  </w:shapeDefaults>
  <w:decimalSymbol w:val=","/>
  <w:listSeparator w:val=";"/>
  <w14:docId w14:val="4FABA44C"/>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B5AD18-580C-4ACA-97E0-2878BE20E7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502</Words>
  <Characters>3320</Characters>
  <Application>Microsoft Office Word</Application>
  <DocSecurity>0</DocSecurity>
  <Lines>62</Lines>
  <Paragraphs>24</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2025-07-23T13:00:00Z</dcterms:created>
  <dcterms:modified xsi:type="dcterms:W3CDTF">2025-07-23T13:00:00Z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